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1B6C9" w14:textId="77777777" w:rsidR="00977013" w:rsidRPr="00977013" w:rsidRDefault="00977013" w:rsidP="00977013">
      <w:pPr>
        <w:spacing w:line="360" w:lineRule="auto"/>
        <w:rPr>
          <w:rFonts w:ascii="Arial" w:hAnsi="Arial" w:cs="Arial"/>
          <w:b/>
          <w:bCs/>
          <w:sz w:val="22"/>
          <w:szCs w:val="22"/>
          <w:lang w:val="en-US"/>
        </w:rPr>
      </w:pPr>
      <w:r w:rsidRPr="00977013">
        <w:rPr>
          <w:rFonts w:ascii="Arial" w:hAnsi="Arial" w:cs="Arial"/>
          <w:b/>
          <w:bCs/>
          <w:sz w:val="22"/>
          <w:szCs w:val="22"/>
          <w:lang w:val="en-US"/>
        </w:rPr>
        <w:t>Calme et professionnel : le Human Centric Lighting donne partout le ton dans le nouveau pôle clients de VicRoads Ringwood, Melbourne</w:t>
      </w:r>
    </w:p>
    <w:p w14:paraId="751E806C" w14:textId="77777777" w:rsidR="008F008B" w:rsidRPr="00977013" w:rsidRDefault="008F008B" w:rsidP="008F008B">
      <w:pPr>
        <w:spacing w:line="360" w:lineRule="auto"/>
        <w:rPr>
          <w:rFonts w:ascii="Arial" w:hAnsi="Arial" w:cs="Arial"/>
          <w:b/>
          <w:bCs/>
          <w:sz w:val="22"/>
          <w:szCs w:val="22"/>
          <w:lang w:val="en-US"/>
        </w:rPr>
      </w:pPr>
    </w:p>
    <w:p w14:paraId="239C6DC5" w14:textId="77777777" w:rsidR="00977013" w:rsidRPr="00977013" w:rsidRDefault="00977013" w:rsidP="00977013">
      <w:pPr>
        <w:spacing w:line="360" w:lineRule="auto"/>
        <w:rPr>
          <w:rFonts w:ascii="Arial" w:hAnsi="Arial" w:cs="Arial"/>
          <w:b/>
          <w:bCs/>
          <w:sz w:val="22"/>
          <w:szCs w:val="22"/>
          <w:lang w:val="en-US"/>
        </w:rPr>
      </w:pPr>
      <w:r w:rsidRPr="00977013">
        <w:rPr>
          <w:rFonts w:ascii="Arial" w:hAnsi="Arial" w:cs="Arial"/>
          <w:b/>
          <w:bCs/>
          <w:sz w:val="22"/>
          <w:szCs w:val="22"/>
          <w:lang w:val="en-US"/>
        </w:rPr>
        <w:t>Comment voulons-nous travailler aujourd’hui ? Au cours des dernières années, les exigences en matière d’environnements de travail modernes ont évolué rapidement – flexibilité et confort sont devenus des facteurs clés lorsqu’il s’agit de concevoir des espaces de travail dans l‘air du temps. Dans le nouveau pôle clients de VicRoads de Ringwood, d’une superficie de 14 000 m², fréquenté par plus de 1 000 personnes par semaine, les services sont souvent très animés. La solution pour rendre le site efficace était d’insuffler une impression de professionnalisme, de calme et de convivialité.</w:t>
      </w:r>
    </w:p>
    <w:p w14:paraId="4246D778" w14:textId="77777777" w:rsidR="008F008B" w:rsidRPr="008F008B" w:rsidRDefault="008F008B" w:rsidP="008F008B">
      <w:pPr>
        <w:spacing w:line="360" w:lineRule="auto"/>
        <w:rPr>
          <w:rFonts w:ascii="Arial" w:hAnsi="Arial" w:cs="Arial"/>
          <w:b/>
          <w:bCs/>
          <w:sz w:val="22"/>
          <w:szCs w:val="22"/>
          <w:lang w:val="fr-FR"/>
        </w:rPr>
      </w:pPr>
    </w:p>
    <w:p w14:paraId="651B23C1" w14:textId="026D5752"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 xml:space="preserve">Selon Laurent Deleu de ADP, société de conseil en ingénierie aux multiples facettes, son équipe a fait face à un défi de taille lors de la conception de l’éclairage des nombreux espaces de bureaux : répondre aux besoins de changement de l‘environnement de travail et d‘un service clients contemporain, tout en respectant les objectifs de développement durable fixés par le ministère pour l’ensemble du projet. L’approche de ERCO centrée sur </w:t>
      </w:r>
      <w:hyperlink r:id="rId6" w:history="1">
        <w:r w:rsidRPr="00977013">
          <w:rPr>
            <w:rStyle w:val="Hyperlink"/>
            <w:rFonts w:ascii="Arial" w:hAnsi="Arial" w:cs="Arial"/>
            <w:sz w:val="22"/>
            <w:szCs w:val="22"/>
            <w:lang w:val="en-US"/>
          </w:rPr>
          <w:t>l’humain en matière d’éclairage</w:t>
        </w:r>
      </w:hyperlink>
      <w:r w:rsidRPr="00977013">
        <w:rPr>
          <w:rFonts w:ascii="Arial" w:hAnsi="Arial" w:cs="Arial"/>
          <w:sz w:val="22"/>
          <w:szCs w:val="22"/>
          <w:lang w:val="en-US"/>
        </w:rPr>
        <w:t xml:space="preserve"> a été la clé. En intégrant la conception lumière dans le plan architectural dès les premières étapes du projet, ils ont été en mesure de fournir une lumière de la bonne température de couleur et de la bonne luminosité précisément là où les personnes utilisant l’espace en avaient besoin, le tout en utilisant moins de luminaires. « Tous les luminaires choisis sont des LED exempts de scintillement, de haute qualité et très efficaces. Ils sont pilotables via un système de commande et de gestion programmable et entièrement paramétrable. Des programmes prédéfinis ainsi que la détection de présence ont été mis en place pour permettre aux appareils d‘éclairage de ne s’allumer que lorsque cela est nécessaire. Différentes zones intègrent des panneaux de contrôle de l’éclairage. L’éclairage périphérique adjacent aux fenêtres est, en outre, relié à des capteurs de lumière du jour. »</w:t>
      </w:r>
    </w:p>
    <w:p w14:paraId="3905BD2B" w14:textId="77777777" w:rsidR="00977013" w:rsidRPr="00977013" w:rsidRDefault="00977013" w:rsidP="00977013">
      <w:pPr>
        <w:spacing w:line="360" w:lineRule="auto"/>
        <w:rPr>
          <w:rFonts w:ascii="Arial" w:hAnsi="Arial" w:cs="Arial"/>
          <w:sz w:val="22"/>
          <w:szCs w:val="22"/>
          <w:lang w:val="en-US"/>
        </w:rPr>
      </w:pPr>
      <w:r w:rsidRPr="00977013">
        <w:rPr>
          <w:rFonts w:ascii="Arial" w:hAnsi="Arial" w:cs="Arial"/>
          <w:b/>
          <w:bCs/>
          <w:sz w:val="22"/>
          <w:szCs w:val="22"/>
          <w:lang w:val="en-US"/>
        </w:rPr>
        <w:lastRenderedPageBreak/>
        <w:t>Lumière pour la manière dont nous travaillons</w:t>
      </w:r>
    </w:p>
    <w:p w14:paraId="2C36FAE8" w14:textId="77777777"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 xml:space="preserve">La prédominance des activités sur écran a entièrement changé la nature du travail. Une étude américaine de 2022 a révélé que nous passons à présent environ 13 heures par jour devant des écrans – dont une grande partie au bureau. Ce travail, effectué à un bureau, demande de regarder devant soi sur un écran rétroéclairé plutôt que de regarder vers le bas sur la surface du plan de travail. L’éclairage des murs a toujours joué un rôle important dans la définition de l’espace, mais avec ce changement dans notre façon de travailler, il est plus important que jamais dans un espace bureau. En assurant un éclairage uniforme des murs – comme ADP l’a fait ici avec les appareils d’éclairage encastrés Compact de ERCO – le contraste entre l’écran et l‘arrière-plan est réduit, ce qui est plus agréable pour les yeux. </w:t>
      </w:r>
    </w:p>
    <w:p w14:paraId="5444596B" w14:textId="77777777" w:rsidR="00977013" w:rsidRPr="00977013" w:rsidRDefault="00977013" w:rsidP="00977013">
      <w:pPr>
        <w:spacing w:line="360" w:lineRule="auto"/>
        <w:rPr>
          <w:rFonts w:ascii="Arial" w:hAnsi="Arial" w:cs="Arial"/>
          <w:sz w:val="22"/>
          <w:szCs w:val="22"/>
          <w:lang w:val="en-US"/>
        </w:rPr>
      </w:pPr>
    </w:p>
    <w:p w14:paraId="5D272E1E" w14:textId="77777777"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 xml:space="preserve">Deux autres avantages d’un système d’éclairage périphérique sont la possibilité d’éclairer ce qui se trouve sur le mur – dans ce cas précis, des tableaux blancs pour faire du « brainstorming », des armoires de rangement ainsi que des œuvres d’art – et une orientation efficace. L’éclairage vertical contribue de manière significative à créer une impression de luminosité dans un espace et facilite les tâches visuelles dans le plan vertical.  </w:t>
      </w:r>
    </w:p>
    <w:p w14:paraId="43212358" w14:textId="77777777" w:rsidR="00977013" w:rsidRPr="00977013" w:rsidRDefault="00977013" w:rsidP="00977013">
      <w:pPr>
        <w:spacing w:line="360" w:lineRule="auto"/>
        <w:rPr>
          <w:rFonts w:ascii="Arial" w:hAnsi="Arial" w:cs="Arial"/>
          <w:sz w:val="22"/>
          <w:szCs w:val="22"/>
          <w:lang w:val="en-US"/>
        </w:rPr>
      </w:pPr>
    </w:p>
    <w:p w14:paraId="6955B6C4" w14:textId="52C94030"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 xml:space="preserve">L’éclairage d’accentuation sur les surfaces de travail demeure un complément important à l’ambiance générée par l’éclairage des murs. ADP a choisi les Downlights </w:t>
      </w:r>
      <w:hyperlink r:id="rId7" w:history="1">
        <w:r w:rsidRPr="00977013">
          <w:rPr>
            <w:rStyle w:val="Hyperlink"/>
            <w:rFonts w:ascii="Arial" w:hAnsi="Arial" w:cs="Arial"/>
            <w:sz w:val="22"/>
            <w:szCs w:val="22"/>
            <w:lang w:val="en-US"/>
          </w:rPr>
          <w:t>Jilly</w:t>
        </w:r>
      </w:hyperlink>
      <w:r w:rsidRPr="00977013">
        <w:rPr>
          <w:rFonts w:ascii="Arial" w:hAnsi="Arial" w:cs="Arial"/>
          <w:sz w:val="22"/>
          <w:szCs w:val="22"/>
          <w:lang w:val="en-US"/>
        </w:rPr>
        <w:t xml:space="preserve"> pour rails conducteurs de ERCO pour leur flexibilité, leur qualité de lumière et leurs optiques dotées de grilles anti-éblouissement. Un rail conducteur linéaire équipé de Jilly est installé au-dessus des postes de travail permanents dans le bureau en espace ouvert ; un rectangle complet de rails permet de déplacer les appareils Jilly dans l’espace de collaboration en fonction des besoins des utilisateurs. Cela rend l’espace pérenne même si les besoins changent, conformément aux engagements du ministère en matière de développement durable et d’utilisation des produits tout au long de leur cycle de vie. </w:t>
      </w:r>
    </w:p>
    <w:p w14:paraId="0617550E" w14:textId="77777777" w:rsidR="00977013" w:rsidRPr="00977013" w:rsidRDefault="00977013" w:rsidP="00977013">
      <w:pPr>
        <w:spacing w:line="360" w:lineRule="auto"/>
        <w:rPr>
          <w:rFonts w:ascii="Arial" w:hAnsi="Arial" w:cs="Arial"/>
          <w:sz w:val="22"/>
          <w:szCs w:val="22"/>
        </w:rPr>
      </w:pPr>
      <w:r w:rsidRPr="00977013">
        <w:rPr>
          <w:rFonts w:ascii="Arial" w:hAnsi="Arial" w:cs="Arial"/>
          <w:b/>
          <w:bCs/>
          <w:sz w:val="22"/>
          <w:szCs w:val="22"/>
        </w:rPr>
        <w:lastRenderedPageBreak/>
        <w:t>Conçu pour les besoins du projet</w:t>
      </w:r>
    </w:p>
    <w:p w14:paraId="4826BC79" w14:textId="77777777"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En partant de zéro pour cette nouvelle construction, ADP s’est offert le luxe d’insuffler de la cohésion dans ce concept lumière. La température de couleur et la puissance de la lumière sont homogènes au fil des déplacements dans l’espace. Comme l’ajoute Michael Abdilia de ADP, « les luminaires et les sources lumineuses dissimulées génèrent un très grand confort visuel, ce qui est important pour préserver le bien-être des collaborateurs. »</w:t>
      </w:r>
    </w:p>
    <w:p w14:paraId="11194540" w14:textId="77777777" w:rsidR="00977013" w:rsidRPr="00977013" w:rsidRDefault="00977013" w:rsidP="00977013">
      <w:pPr>
        <w:spacing w:line="360" w:lineRule="auto"/>
        <w:rPr>
          <w:rFonts w:ascii="Arial" w:hAnsi="Arial" w:cs="Arial"/>
          <w:sz w:val="22"/>
          <w:szCs w:val="22"/>
          <w:lang w:val="en-US"/>
        </w:rPr>
      </w:pPr>
    </w:p>
    <w:p w14:paraId="1182732E" w14:textId="60CC4D8F"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 xml:space="preserve">Même les espaces annexes s‘inscrivent dans la continuité esthétique du bureau principal. L’association de l’éclairage vertical, de l’éclairage d’ambiance flexible et de l’éclairage d’accentuation s’adapte facilement aux tâches et activités d’éclairage particulières : dans la salle du conseil, </w:t>
      </w:r>
      <w:hyperlink r:id="rId8" w:history="1">
        <w:r w:rsidRPr="00977013">
          <w:rPr>
            <w:rStyle w:val="Hyperlink"/>
            <w:rFonts w:ascii="Arial" w:hAnsi="Arial" w:cs="Arial"/>
            <w:sz w:val="22"/>
            <w:szCs w:val="22"/>
            <w:lang w:val="en-US"/>
          </w:rPr>
          <w:t>Jilly</w:t>
        </w:r>
      </w:hyperlink>
      <w:r w:rsidRPr="00977013">
        <w:rPr>
          <w:rFonts w:ascii="Arial" w:hAnsi="Arial" w:cs="Arial"/>
          <w:sz w:val="22"/>
          <w:szCs w:val="22"/>
          <w:lang w:val="en-US"/>
        </w:rPr>
        <w:t xml:space="preserve"> pour rails conducteurs éclaire doucement la surface du bureau tandis que les spots </w:t>
      </w:r>
      <w:hyperlink r:id="rId9" w:history="1">
        <w:r w:rsidRPr="00977013">
          <w:rPr>
            <w:rStyle w:val="Hyperlink"/>
            <w:rFonts w:ascii="Arial" w:hAnsi="Arial" w:cs="Arial"/>
            <w:sz w:val="22"/>
            <w:szCs w:val="22"/>
            <w:lang w:val="en-US"/>
          </w:rPr>
          <w:t>Optec</w:t>
        </w:r>
      </w:hyperlink>
      <w:r w:rsidRPr="00977013">
        <w:rPr>
          <w:rFonts w:ascii="Arial" w:hAnsi="Arial" w:cs="Arial"/>
          <w:sz w:val="22"/>
          <w:szCs w:val="22"/>
          <w:lang w:val="en-US"/>
        </w:rPr>
        <w:t xml:space="preserve"> délimitent les zones de circulation. Pour éclairer le vestiaire, l’utilisation des appareils d’éclairage à faisceau mural Compact à double foyer propose une solution petite mais astucieuse pour les installations en fin de parcours. Cela permet d’éclairer deux murs opposés avec un seul dispositif. Une lumière claire et utile est dirigée sur les systèmes de verrouillage et le contenu des casiers ; l’absence de lumière directe d‘en haut rend, toutefois, l’espace convivial permettant aux collaborateurs de discuter et de profiter de leurs moments de détente à la fin de la journée.</w:t>
      </w:r>
    </w:p>
    <w:p w14:paraId="548977C3" w14:textId="77777777" w:rsidR="00977013" w:rsidRPr="00977013" w:rsidRDefault="00977013" w:rsidP="00977013">
      <w:pPr>
        <w:spacing w:line="360" w:lineRule="auto"/>
        <w:rPr>
          <w:rFonts w:ascii="Arial" w:hAnsi="Arial" w:cs="Arial"/>
          <w:sz w:val="22"/>
          <w:szCs w:val="22"/>
          <w:lang w:val="en-US"/>
        </w:rPr>
      </w:pPr>
    </w:p>
    <w:p w14:paraId="38C45BB1" w14:textId="77777777" w:rsidR="00977013" w:rsidRPr="00977013" w:rsidRDefault="00977013" w:rsidP="00977013">
      <w:pPr>
        <w:spacing w:line="360" w:lineRule="auto"/>
        <w:rPr>
          <w:rFonts w:ascii="Arial" w:hAnsi="Arial" w:cs="Arial"/>
          <w:sz w:val="22"/>
          <w:szCs w:val="22"/>
          <w:lang w:val="en-US"/>
        </w:rPr>
      </w:pPr>
      <w:r w:rsidRPr="00977013">
        <w:rPr>
          <w:rFonts w:ascii="Arial" w:hAnsi="Arial" w:cs="Arial"/>
          <w:b/>
          <w:bCs/>
          <w:sz w:val="22"/>
          <w:szCs w:val="22"/>
          <w:lang w:val="en-US"/>
        </w:rPr>
        <w:t>Confort des clients</w:t>
      </w:r>
    </w:p>
    <w:p w14:paraId="5FFE65B2" w14:textId="048CA168"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 xml:space="preserve">Le concept d’éclairage sélectionné offre la quintessence des niveaux de lumière tels que définis par Richard Kelly. Des appareils à faisceau mural </w:t>
      </w:r>
      <w:hyperlink r:id="rId10" w:history="1">
        <w:r w:rsidRPr="00977013">
          <w:rPr>
            <w:rStyle w:val="Hyperlink"/>
            <w:rFonts w:ascii="Arial" w:hAnsi="Arial" w:cs="Arial"/>
            <w:sz w:val="22"/>
            <w:szCs w:val="22"/>
            <w:lang w:val="en-US"/>
          </w:rPr>
          <w:t>Parscan</w:t>
        </w:r>
      </w:hyperlink>
      <w:r w:rsidRPr="00977013">
        <w:rPr>
          <w:rFonts w:ascii="Arial" w:hAnsi="Arial" w:cs="Arial"/>
          <w:sz w:val="22"/>
          <w:szCs w:val="22"/>
          <w:lang w:val="en-US"/>
        </w:rPr>
        <w:t xml:space="preserve"> pour rails conducteurs et des </w:t>
      </w:r>
      <w:hyperlink r:id="rId11" w:history="1">
        <w:r w:rsidRPr="00977013">
          <w:rPr>
            <w:rStyle w:val="Hyperlink"/>
            <w:rFonts w:ascii="Arial" w:hAnsi="Arial" w:cs="Arial"/>
            <w:sz w:val="22"/>
            <w:szCs w:val="22"/>
            <w:lang w:val="en-US"/>
          </w:rPr>
          <w:t>Downlights</w:t>
        </w:r>
      </w:hyperlink>
      <w:r w:rsidRPr="00977013">
        <w:rPr>
          <w:rFonts w:ascii="Arial" w:hAnsi="Arial" w:cs="Arial"/>
          <w:sz w:val="22"/>
          <w:szCs w:val="22"/>
          <w:lang w:val="en-US"/>
        </w:rPr>
        <w:t xml:space="preserve"> encastrés sobres fournissent la lumière ambiante générale. Des spots supplémentaires Parscan mettent l’accent sur les surfaces de travail des collaborateurs ainsi que sur les bureaux debout, pratiques pour permettre aux clients de remplir des formulaires. </w:t>
      </w:r>
    </w:p>
    <w:p w14:paraId="3D905A0C" w14:textId="77777777" w:rsidR="00977013" w:rsidRPr="00977013" w:rsidRDefault="00977013" w:rsidP="00977013">
      <w:pPr>
        <w:spacing w:line="360" w:lineRule="auto"/>
        <w:rPr>
          <w:rFonts w:ascii="Arial" w:hAnsi="Arial" w:cs="Arial"/>
          <w:sz w:val="22"/>
          <w:szCs w:val="22"/>
          <w:lang w:val="en-US"/>
        </w:rPr>
      </w:pPr>
    </w:p>
    <w:p w14:paraId="65DB45EA" w14:textId="77777777" w:rsidR="00977013" w:rsidRPr="00977013" w:rsidRDefault="00977013" w:rsidP="00977013">
      <w:pPr>
        <w:spacing w:line="360" w:lineRule="auto"/>
        <w:rPr>
          <w:rFonts w:ascii="Arial" w:hAnsi="Arial" w:cs="Arial"/>
          <w:sz w:val="22"/>
          <w:szCs w:val="22"/>
          <w:lang w:val="en-US"/>
        </w:rPr>
      </w:pPr>
      <w:r w:rsidRPr="00977013">
        <w:rPr>
          <w:rFonts w:ascii="Arial" w:hAnsi="Arial" w:cs="Arial"/>
          <w:sz w:val="22"/>
          <w:szCs w:val="22"/>
          <w:lang w:val="en-US"/>
        </w:rPr>
        <w:t xml:space="preserve">Pour conclure, Laurent Deleu compare les résultats obtenus pour VicRoads à l’éclairage traditionnel des bureaux des 50 dernières </w:t>
      </w:r>
      <w:r w:rsidRPr="00977013">
        <w:rPr>
          <w:rFonts w:ascii="Arial" w:hAnsi="Arial" w:cs="Arial"/>
          <w:sz w:val="22"/>
          <w:szCs w:val="22"/>
          <w:lang w:val="en-US"/>
        </w:rPr>
        <w:lastRenderedPageBreak/>
        <w:t xml:space="preserve">années. « Remettre en question l’éclairage traditionnel était inconfortable, mais la collaboration avec ERCO et la visite de certains projets exemplaires nous ont confortés dans l’idée que c’était la bonne approche pour VicRoads et l’éclairage des bureaux du XXIe siècle. » Les excellents commentaires des visiteurs et la satisfaction du client sont la preuve que l’argent public dépensé l’a été à bon escient. </w:t>
      </w:r>
    </w:p>
    <w:p w14:paraId="28160DC2" w14:textId="77777777" w:rsidR="00977013" w:rsidRPr="00977013" w:rsidRDefault="00977013" w:rsidP="00977013">
      <w:pPr>
        <w:spacing w:line="360" w:lineRule="auto"/>
        <w:rPr>
          <w:rFonts w:ascii="Arial" w:hAnsi="Arial" w:cs="Arial"/>
          <w:sz w:val="22"/>
          <w:szCs w:val="22"/>
          <w:lang w:val="en-US"/>
        </w:rPr>
      </w:pPr>
    </w:p>
    <w:p w14:paraId="64F83794" w14:textId="11251AAE" w:rsidR="002C545A" w:rsidRDefault="00896DAD" w:rsidP="00977013">
      <w:pPr>
        <w:spacing w:line="360" w:lineRule="auto"/>
        <w:rPr>
          <w:rFonts w:ascii="Arial" w:hAnsi="Arial" w:cs="Arial"/>
          <w:sz w:val="22"/>
          <w:szCs w:val="22"/>
          <w:lang w:val="en-US"/>
        </w:rPr>
      </w:pPr>
      <w:hyperlink r:id="rId12" w:history="1">
        <w:r w:rsidR="00977013" w:rsidRPr="00896DAD">
          <w:rPr>
            <w:rStyle w:val="Hyperlink"/>
            <w:rFonts w:ascii="Arial" w:hAnsi="Arial" w:cs="Arial"/>
            <w:sz w:val="22"/>
            <w:szCs w:val="22"/>
            <w:lang w:val="en-US"/>
          </w:rPr>
          <w:t>Téléchargez</w:t>
        </w:r>
      </w:hyperlink>
      <w:r w:rsidR="00977013" w:rsidRPr="00977013">
        <w:rPr>
          <w:rFonts w:ascii="Arial" w:hAnsi="Arial" w:cs="Arial"/>
          <w:sz w:val="22"/>
          <w:szCs w:val="22"/>
          <w:lang w:val="en-US"/>
        </w:rPr>
        <w:t xml:space="preserve"> le </w:t>
      </w:r>
      <w:r w:rsidR="00977013" w:rsidRPr="00896DAD">
        <w:rPr>
          <w:rFonts w:ascii="Arial" w:hAnsi="Arial" w:cs="Arial"/>
          <w:b/>
          <w:bCs/>
          <w:sz w:val="22"/>
          <w:szCs w:val="22"/>
          <w:lang w:val="en-US"/>
        </w:rPr>
        <w:t>livre blanc sur le Human Centric Lighting</w:t>
      </w:r>
      <w:r w:rsidR="00977013" w:rsidRPr="00977013">
        <w:rPr>
          <w:rFonts w:ascii="Arial" w:hAnsi="Arial" w:cs="Arial"/>
          <w:sz w:val="22"/>
          <w:szCs w:val="22"/>
          <w:lang w:val="en-US"/>
        </w:rPr>
        <w:t xml:space="preserve"> avec des conseils de conception et une check-list pour votre nouveau projet</w:t>
      </w:r>
      <w:r>
        <w:rPr>
          <w:rFonts w:ascii="Arial" w:hAnsi="Arial" w:cs="Arial"/>
          <w:sz w:val="22"/>
          <w:szCs w:val="22"/>
          <w:lang w:val="en-US"/>
        </w:rPr>
        <w:t>.</w:t>
      </w:r>
    </w:p>
    <w:p w14:paraId="47E1DA51" w14:textId="6785AC03" w:rsidR="006B27C9" w:rsidRPr="001B366A" w:rsidRDefault="001B366A" w:rsidP="00977013">
      <w:pPr>
        <w:spacing w:line="360" w:lineRule="auto"/>
        <w:rPr>
          <w:rStyle w:val="Hyperlink"/>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HYPERLINK "https://youtu.be/3yR-129NwLY" </w:instrText>
      </w:r>
      <w:r>
        <w:rPr>
          <w:rFonts w:ascii="Arial" w:hAnsi="Arial" w:cs="Arial"/>
          <w:sz w:val="22"/>
          <w:szCs w:val="22"/>
          <w:lang w:val="en-US"/>
        </w:rPr>
      </w:r>
      <w:r>
        <w:rPr>
          <w:rFonts w:ascii="Arial" w:hAnsi="Arial" w:cs="Arial"/>
          <w:sz w:val="22"/>
          <w:szCs w:val="22"/>
          <w:lang w:val="en-US"/>
        </w:rPr>
        <w:fldChar w:fldCharType="separate"/>
      </w:r>
    </w:p>
    <w:p w14:paraId="7ED68029" w14:textId="7EA06660" w:rsidR="006B27C9" w:rsidRPr="001B366A" w:rsidRDefault="006B27C9" w:rsidP="00977013">
      <w:pPr>
        <w:spacing w:line="360" w:lineRule="auto"/>
        <w:rPr>
          <w:rFonts w:ascii="Arial" w:hAnsi="Arial" w:cs="Arial"/>
          <w:sz w:val="22"/>
          <w:szCs w:val="22"/>
          <w:u w:val="thick"/>
        </w:rPr>
      </w:pPr>
      <w:r w:rsidRPr="001B366A">
        <w:rPr>
          <w:rStyle w:val="Hyperlink"/>
          <w:rFonts w:ascii="Arial" w:hAnsi="Arial" w:cs="Arial"/>
          <w:sz w:val="22"/>
          <w:szCs w:val="22"/>
        </w:rPr>
        <w:t>Lien vers le film</w:t>
      </w:r>
      <w:r w:rsidR="001B366A">
        <w:rPr>
          <w:rFonts w:ascii="Arial" w:hAnsi="Arial" w:cs="Arial"/>
          <w:sz w:val="22"/>
          <w:szCs w:val="22"/>
          <w:lang w:val="en-US"/>
        </w:rPr>
        <w:fldChar w:fldCharType="end"/>
      </w:r>
    </w:p>
    <w:p w14:paraId="141D16E6" w14:textId="04FA079B" w:rsidR="006E7D03" w:rsidRDefault="006E7D03" w:rsidP="001A36DB">
      <w:pPr>
        <w:spacing w:line="360" w:lineRule="auto"/>
        <w:rPr>
          <w:rFonts w:ascii="Arial" w:eastAsia="Times New Roman" w:hAnsi="Arial" w:cs="Arial"/>
          <w:b/>
          <w:bCs/>
          <w:sz w:val="22"/>
          <w:szCs w:val="22"/>
          <w:shd w:val="clear" w:color="auto" w:fill="FFFFFF"/>
          <w:lang w:val="fr-FR"/>
        </w:rPr>
      </w:pPr>
    </w:p>
    <w:p w14:paraId="07028A9F" w14:textId="3DBB46B0" w:rsidR="002C545A" w:rsidRDefault="002C545A" w:rsidP="001A36DB">
      <w:pPr>
        <w:spacing w:line="360" w:lineRule="auto"/>
        <w:rPr>
          <w:rFonts w:ascii="Arial" w:eastAsia="Times New Roman" w:hAnsi="Arial" w:cs="Arial"/>
          <w:b/>
          <w:bCs/>
          <w:sz w:val="22"/>
          <w:szCs w:val="22"/>
          <w:shd w:val="clear" w:color="auto" w:fill="FFFFFF"/>
          <w:lang w:val="fr-FR"/>
        </w:rPr>
      </w:pPr>
    </w:p>
    <w:p w14:paraId="5493A1C8" w14:textId="3EB25950" w:rsidR="006B27C9" w:rsidRDefault="006B27C9" w:rsidP="001A36DB">
      <w:pPr>
        <w:spacing w:line="360" w:lineRule="auto"/>
        <w:rPr>
          <w:rFonts w:ascii="Arial" w:eastAsia="Times New Roman" w:hAnsi="Arial" w:cs="Arial"/>
          <w:b/>
          <w:bCs/>
          <w:sz w:val="22"/>
          <w:szCs w:val="22"/>
          <w:shd w:val="clear" w:color="auto" w:fill="FFFFFF"/>
          <w:lang w:val="fr-FR"/>
        </w:rPr>
      </w:pPr>
    </w:p>
    <w:p w14:paraId="5B191BDE" w14:textId="77777777" w:rsidR="006B27C9" w:rsidRDefault="006B27C9" w:rsidP="001A36DB">
      <w:pPr>
        <w:spacing w:line="360" w:lineRule="auto"/>
        <w:rPr>
          <w:rFonts w:ascii="Arial" w:eastAsia="Times New Roman" w:hAnsi="Arial" w:cs="Arial"/>
          <w:b/>
          <w:bCs/>
          <w:sz w:val="22"/>
          <w:szCs w:val="22"/>
          <w:shd w:val="clear" w:color="auto" w:fill="FFFFFF"/>
          <w:lang w:val="fr-FR"/>
        </w:rPr>
      </w:pPr>
    </w:p>
    <w:p w14:paraId="3A5F39AB" w14:textId="72342FC8" w:rsidR="002C545A" w:rsidRDefault="002C545A" w:rsidP="001A36DB">
      <w:pPr>
        <w:spacing w:line="360" w:lineRule="auto"/>
        <w:rPr>
          <w:rFonts w:ascii="Arial" w:eastAsia="Times New Roman" w:hAnsi="Arial" w:cs="Arial"/>
          <w:b/>
          <w:bCs/>
          <w:sz w:val="22"/>
          <w:szCs w:val="22"/>
          <w:shd w:val="clear" w:color="auto" w:fill="FFFFFF"/>
          <w:lang w:val="fr-FR"/>
        </w:rPr>
      </w:pPr>
    </w:p>
    <w:p w14:paraId="571A039E" w14:textId="1C0996E6" w:rsidR="002C545A" w:rsidRDefault="002C545A" w:rsidP="001A36DB">
      <w:pPr>
        <w:spacing w:line="360" w:lineRule="auto"/>
        <w:rPr>
          <w:rFonts w:ascii="Arial" w:eastAsia="Times New Roman" w:hAnsi="Arial" w:cs="Arial"/>
          <w:b/>
          <w:bCs/>
          <w:sz w:val="22"/>
          <w:szCs w:val="22"/>
          <w:shd w:val="clear" w:color="auto" w:fill="FFFFFF"/>
          <w:lang w:val="fr-FR"/>
        </w:rPr>
      </w:pPr>
    </w:p>
    <w:p w14:paraId="2A880BE5" w14:textId="2A80722A" w:rsidR="00AD04EA" w:rsidRPr="00977013" w:rsidRDefault="00BA4DCC" w:rsidP="00213084">
      <w:pPr>
        <w:pStyle w:val="01berschriftERCO"/>
        <w:rPr>
          <w:b/>
          <w:bCs w:val="0"/>
          <w:lang w:val="fr-FR"/>
        </w:rPr>
      </w:pPr>
      <w:r w:rsidRPr="00977013">
        <w:rPr>
          <w:b/>
          <w:bCs w:val="0"/>
          <w:lang w:val="fr-FR"/>
        </w:rPr>
        <w:t>Données</w:t>
      </w:r>
      <w:r w:rsidR="00A22310" w:rsidRPr="00977013">
        <w:rPr>
          <w:b/>
          <w:bCs w:val="0"/>
          <w:lang w:val="fr-FR"/>
        </w:rPr>
        <w:t xml:space="preserve"> </w:t>
      </w:r>
      <w:r w:rsidRPr="00977013">
        <w:rPr>
          <w:b/>
          <w:bCs w:val="0"/>
          <w:lang w:val="fr-FR"/>
        </w:rPr>
        <w:t>du</w:t>
      </w:r>
      <w:r w:rsidR="00A22310" w:rsidRPr="00977013">
        <w:rPr>
          <w:b/>
          <w:bCs w:val="0"/>
          <w:lang w:val="fr-FR"/>
        </w:rPr>
        <w:t xml:space="preserve"> </w:t>
      </w:r>
      <w:r w:rsidRPr="00977013">
        <w:rPr>
          <w:b/>
          <w:bCs w:val="0"/>
          <w:lang w:val="fr-FR"/>
        </w:rPr>
        <w:t>projet</w:t>
      </w:r>
    </w:p>
    <w:p w14:paraId="7E8CC1B0" w14:textId="4EC53EE5" w:rsidR="006D1CB8" w:rsidRPr="00977013" w:rsidRDefault="006D1CB8" w:rsidP="00977013">
      <w:pPr>
        <w:pStyle w:val="01berschriftERCO"/>
        <w:spacing w:line="240" w:lineRule="auto"/>
        <w:ind w:left="2120" w:hanging="2120"/>
        <w:rPr>
          <w:sz w:val="20"/>
          <w:lang w:val="fr-FR"/>
        </w:rPr>
      </w:pPr>
      <w:r w:rsidRPr="00977013">
        <w:rPr>
          <w:sz w:val="20"/>
          <w:lang w:val="fr-FR"/>
        </w:rPr>
        <w:t>Projet  :</w:t>
      </w:r>
      <w:r w:rsidRPr="00977013">
        <w:rPr>
          <w:sz w:val="20"/>
          <w:lang w:val="fr-FR"/>
        </w:rPr>
        <w:tab/>
      </w:r>
      <w:r w:rsidR="00977013" w:rsidRPr="00977013">
        <w:rPr>
          <w:sz w:val="20"/>
          <w:lang w:val="fr-FR"/>
        </w:rPr>
        <w:t>Aménagement du département commerce de détail, du service clientèle et de bureaux du gouvernement de l‘État du Victorian,</w:t>
      </w:r>
      <w:r w:rsidR="00977013">
        <w:rPr>
          <w:sz w:val="20"/>
          <w:lang w:val="fr-FR"/>
        </w:rPr>
        <w:t xml:space="preserve"> Melbourne</w:t>
      </w:r>
      <w:r w:rsidR="008F008B">
        <w:rPr>
          <w:sz w:val="20"/>
          <w:lang w:val="fr-FR"/>
        </w:rPr>
        <w:t xml:space="preserve"> / </w:t>
      </w:r>
      <w:r w:rsidR="00977013">
        <w:rPr>
          <w:sz w:val="20"/>
          <w:lang w:val="fr-FR"/>
        </w:rPr>
        <w:t>Australie</w:t>
      </w:r>
    </w:p>
    <w:p w14:paraId="78EF6F80" w14:textId="77777777" w:rsidR="006D1CB8" w:rsidRPr="00977013" w:rsidRDefault="006D1CB8" w:rsidP="00977013">
      <w:pPr>
        <w:pStyle w:val="01berschriftERCO"/>
        <w:spacing w:line="240" w:lineRule="auto"/>
        <w:rPr>
          <w:sz w:val="20"/>
          <w:lang w:val="fr-FR"/>
        </w:rPr>
      </w:pPr>
    </w:p>
    <w:p w14:paraId="4510F9FC" w14:textId="3CA03B46" w:rsidR="006D1CB8" w:rsidRPr="00977013" w:rsidRDefault="006D1CB8" w:rsidP="00977013">
      <w:pPr>
        <w:pStyle w:val="01berschriftERCO"/>
        <w:spacing w:line="240" w:lineRule="auto"/>
        <w:rPr>
          <w:sz w:val="20"/>
          <w:lang w:val="fr-FR"/>
        </w:rPr>
      </w:pPr>
      <w:r w:rsidRPr="00977013">
        <w:rPr>
          <w:sz w:val="20"/>
          <w:lang w:val="fr-FR"/>
        </w:rPr>
        <w:t xml:space="preserve">Architectes : </w:t>
      </w:r>
      <w:r w:rsidRPr="00977013">
        <w:rPr>
          <w:sz w:val="20"/>
          <w:lang w:val="fr-FR"/>
        </w:rPr>
        <w:tab/>
      </w:r>
      <w:r w:rsidRPr="00977013">
        <w:rPr>
          <w:sz w:val="20"/>
          <w:lang w:val="fr-FR"/>
        </w:rPr>
        <w:tab/>
      </w:r>
      <w:r w:rsidR="00977013">
        <w:rPr>
          <w:sz w:val="20"/>
          <w:lang w:val="fr-FR"/>
        </w:rPr>
        <w:t>peckvonhartel</w:t>
      </w:r>
      <w:r w:rsidR="008F008B" w:rsidRPr="00977013">
        <w:rPr>
          <w:sz w:val="20"/>
          <w:lang w:val="fr-FR"/>
        </w:rPr>
        <w:t xml:space="preserve">, </w:t>
      </w:r>
      <w:r w:rsidR="00977013" w:rsidRPr="00977013">
        <w:rPr>
          <w:sz w:val="20"/>
          <w:lang w:val="fr-FR"/>
        </w:rPr>
        <w:t>Melbourne</w:t>
      </w:r>
      <w:r w:rsidR="008F008B" w:rsidRPr="00977013">
        <w:rPr>
          <w:sz w:val="20"/>
          <w:lang w:val="fr-FR"/>
        </w:rPr>
        <w:t xml:space="preserve"> / </w:t>
      </w:r>
      <w:r w:rsidR="00977013" w:rsidRPr="00977013">
        <w:rPr>
          <w:sz w:val="20"/>
          <w:lang w:val="fr-FR"/>
        </w:rPr>
        <w:t>Australie</w:t>
      </w:r>
    </w:p>
    <w:p w14:paraId="12DDFEEE" w14:textId="6A0EC285" w:rsidR="006D1CB8" w:rsidRDefault="006D1CB8" w:rsidP="00977013">
      <w:pPr>
        <w:pStyle w:val="01berschriftERCO"/>
        <w:spacing w:line="240" w:lineRule="auto"/>
        <w:rPr>
          <w:sz w:val="20"/>
          <w:lang w:val="fr-FR"/>
        </w:rPr>
      </w:pPr>
    </w:p>
    <w:p w14:paraId="53495D34" w14:textId="2A2E3C0F" w:rsidR="00977013" w:rsidRDefault="00977013" w:rsidP="00977013">
      <w:pPr>
        <w:pStyle w:val="01berschriftERCO"/>
        <w:spacing w:line="240" w:lineRule="auto"/>
        <w:rPr>
          <w:sz w:val="20"/>
          <w:lang w:val="fr-FR"/>
        </w:rPr>
      </w:pPr>
      <w:r>
        <w:rPr>
          <w:sz w:val="20"/>
          <w:lang w:val="fr-FR"/>
        </w:rPr>
        <w:t>Conception</w:t>
      </w:r>
    </w:p>
    <w:p w14:paraId="4AC2C4D8" w14:textId="68BBE6F8" w:rsidR="00977013" w:rsidRDefault="00977013" w:rsidP="00977013">
      <w:pPr>
        <w:pStyle w:val="01berschriftERCO"/>
        <w:spacing w:line="240" w:lineRule="auto"/>
        <w:rPr>
          <w:sz w:val="20"/>
          <w:lang w:val="fr-FR"/>
        </w:rPr>
      </w:pPr>
      <w:r>
        <w:rPr>
          <w:sz w:val="20"/>
          <w:lang w:val="fr-FR"/>
        </w:rPr>
        <w:t xml:space="preserve">Lumière : </w:t>
      </w:r>
      <w:r>
        <w:rPr>
          <w:sz w:val="20"/>
          <w:lang w:val="fr-FR"/>
        </w:rPr>
        <w:tab/>
      </w:r>
      <w:r>
        <w:rPr>
          <w:sz w:val="20"/>
          <w:lang w:val="fr-FR"/>
        </w:rPr>
        <w:tab/>
        <w:t>ADP Consulting, Melbourne / Australie</w:t>
      </w:r>
    </w:p>
    <w:p w14:paraId="755458CE" w14:textId="77777777" w:rsidR="00977013" w:rsidRPr="00977013" w:rsidRDefault="00977013" w:rsidP="00977013">
      <w:pPr>
        <w:pStyle w:val="01berschriftERCO"/>
        <w:spacing w:line="240" w:lineRule="auto"/>
        <w:rPr>
          <w:sz w:val="20"/>
          <w:lang w:val="fr-FR"/>
        </w:rPr>
      </w:pPr>
    </w:p>
    <w:p w14:paraId="5AB3394D" w14:textId="2036501F" w:rsidR="00F029C0" w:rsidRPr="006D1CB8" w:rsidRDefault="006D1CB8" w:rsidP="00977013">
      <w:pPr>
        <w:pStyle w:val="01berschriftERCO"/>
        <w:spacing w:line="240" w:lineRule="auto"/>
        <w:rPr>
          <w:sz w:val="20"/>
          <w:lang w:val="de-DE"/>
        </w:rPr>
      </w:pPr>
      <w:r w:rsidRPr="006D1CB8">
        <w:rPr>
          <w:sz w:val="20"/>
          <w:lang w:val="de-DE"/>
        </w:rPr>
        <w:t>Photographie :</w:t>
      </w:r>
      <w:r w:rsidRPr="006D1CB8">
        <w:rPr>
          <w:sz w:val="20"/>
          <w:lang w:val="de-DE"/>
        </w:rPr>
        <w:tab/>
      </w:r>
      <w:r w:rsidR="00FA587D">
        <w:rPr>
          <w:sz w:val="20"/>
          <w:lang w:val="de-DE"/>
        </w:rPr>
        <w:tab/>
      </w:r>
      <w:r w:rsidR="00977013">
        <w:rPr>
          <w:sz w:val="20"/>
          <w:lang w:val="de-DE"/>
        </w:rPr>
        <w:t>Jackie Chan</w:t>
      </w:r>
      <w:r w:rsidRPr="006D1CB8">
        <w:rPr>
          <w:sz w:val="20"/>
          <w:lang w:val="de-DE"/>
        </w:rPr>
        <w:t>,</w:t>
      </w:r>
      <w:r>
        <w:rPr>
          <w:sz w:val="20"/>
          <w:lang w:val="de-DE"/>
        </w:rPr>
        <w:t xml:space="preserve"> </w:t>
      </w:r>
      <w:r w:rsidR="00977013">
        <w:rPr>
          <w:sz w:val="20"/>
          <w:szCs w:val="20"/>
          <w:lang w:val="de-DE"/>
        </w:rPr>
        <w:t>Sydney</w:t>
      </w:r>
      <w:r w:rsidR="008F008B">
        <w:rPr>
          <w:sz w:val="20"/>
          <w:szCs w:val="20"/>
          <w:lang w:val="de-DE"/>
        </w:rPr>
        <w:t xml:space="preserve"> </w:t>
      </w:r>
      <w:r w:rsidRPr="006D1CB8">
        <w:rPr>
          <w:sz w:val="20"/>
          <w:szCs w:val="20"/>
          <w:lang w:val="de-DE"/>
        </w:rPr>
        <w:t xml:space="preserve">/ </w:t>
      </w:r>
      <w:r w:rsidR="00977013">
        <w:rPr>
          <w:sz w:val="20"/>
          <w:szCs w:val="20"/>
          <w:lang w:val="de-DE"/>
        </w:rPr>
        <w:t>Australie</w:t>
      </w:r>
      <w:r>
        <w:rPr>
          <w:sz w:val="20"/>
          <w:szCs w:val="20"/>
          <w:lang w:val="de-DE"/>
        </w:rPr>
        <w:br/>
      </w:r>
    </w:p>
    <w:p w14:paraId="5BB3F84E" w14:textId="22096832" w:rsidR="004B4DB6" w:rsidRPr="008F008B" w:rsidRDefault="00BA4DCC" w:rsidP="00977013">
      <w:pPr>
        <w:pStyle w:val="01berschriftERCO"/>
        <w:spacing w:line="240" w:lineRule="auto"/>
        <w:ind w:left="2120" w:hanging="2120"/>
        <w:rPr>
          <w:sz w:val="20"/>
          <w:szCs w:val="20"/>
        </w:rPr>
      </w:pPr>
      <w:r w:rsidRPr="008F008B">
        <w:rPr>
          <w:sz w:val="20"/>
          <w:szCs w:val="20"/>
        </w:rPr>
        <w:t xml:space="preserve">Produits </w:t>
      </w:r>
      <w:r w:rsidR="00F029C0" w:rsidRPr="008F008B">
        <w:rPr>
          <w:sz w:val="20"/>
          <w:szCs w:val="20"/>
        </w:rPr>
        <w:t>:</w:t>
      </w:r>
      <w:r w:rsidR="00F029C0" w:rsidRPr="008F008B">
        <w:rPr>
          <w:sz w:val="20"/>
          <w:szCs w:val="20"/>
        </w:rPr>
        <w:tab/>
      </w:r>
      <w:r w:rsidR="00977013">
        <w:rPr>
          <w:sz w:val="20"/>
          <w:szCs w:val="20"/>
        </w:rPr>
        <w:t>Compar, Jilly, Optec, Parscan</w:t>
      </w:r>
    </w:p>
    <w:p w14:paraId="57E1E1F4" w14:textId="77777777" w:rsidR="00CD6163" w:rsidRPr="008F008B" w:rsidRDefault="00CD6163" w:rsidP="00977013">
      <w:pPr>
        <w:pStyle w:val="01berschriftERCO"/>
        <w:spacing w:line="240" w:lineRule="auto"/>
        <w:ind w:left="2120" w:hanging="2120"/>
        <w:rPr>
          <w:sz w:val="20"/>
          <w:szCs w:val="20"/>
        </w:rPr>
      </w:pPr>
    </w:p>
    <w:p w14:paraId="2A28918B" w14:textId="2C8DEA9D" w:rsidR="00F029C0" w:rsidRPr="00CB6F97" w:rsidRDefault="00BA4DCC" w:rsidP="00977013">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r w:rsidR="00F029C0" w:rsidRPr="00CB6F97">
        <w:rPr>
          <w:sz w:val="20"/>
          <w:szCs w:val="20"/>
        </w:rPr>
        <w:tab/>
      </w:r>
      <w:r>
        <w:rPr>
          <w:sz w:val="20"/>
          <w:szCs w:val="20"/>
        </w:rPr>
        <w:t xml:space="preserve">  </w:t>
      </w:r>
      <w:r>
        <w:rPr>
          <w:sz w:val="20"/>
          <w:szCs w:val="20"/>
        </w:rPr>
        <w:tab/>
      </w:r>
      <w:r w:rsidR="00F029C0" w:rsidRPr="00CB6F97">
        <w:rPr>
          <w:sz w:val="20"/>
          <w:szCs w:val="20"/>
        </w:rPr>
        <w:t>© ERCO GmbH, www.erco.com,</w:t>
      </w:r>
    </w:p>
    <w:p w14:paraId="73E8E286" w14:textId="2874D9B8" w:rsidR="00AD04EA" w:rsidRPr="00977013" w:rsidRDefault="00BA4DCC" w:rsidP="00977013">
      <w:pPr>
        <w:pStyle w:val="01berschriftERCO"/>
        <w:spacing w:line="240" w:lineRule="auto"/>
        <w:ind w:left="2120"/>
        <w:rPr>
          <w:sz w:val="20"/>
          <w:szCs w:val="20"/>
        </w:rPr>
      </w:pPr>
      <w:r w:rsidRPr="00BA4DCC">
        <w:rPr>
          <w:sz w:val="20"/>
          <w:szCs w:val="20"/>
          <w:lang w:val="fr-FR"/>
        </w:rPr>
        <w:t>photographie </w:t>
      </w:r>
      <w:r w:rsidR="00F029C0" w:rsidRPr="00977013">
        <w:rPr>
          <w:sz w:val="20"/>
          <w:szCs w:val="20"/>
        </w:rPr>
        <w:t xml:space="preserve">: </w:t>
      </w:r>
      <w:r w:rsidR="00977013">
        <w:rPr>
          <w:sz w:val="20"/>
          <w:szCs w:val="20"/>
        </w:rPr>
        <w:t>Jackie Chan</w:t>
      </w:r>
    </w:p>
    <w:p w14:paraId="5A05C5DD" w14:textId="77777777" w:rsidR="002C545A" w:rsidRPr="00977013" w:rsidRDefault="002C545A" w:rsidP="00AD04EA">
      <w:pPr>
        <w:pStyle w:val="02TextERCO"/>
        <w:rPr>
          <w:b/>
          <w:bCs/>
          <w:lang w:val="en-US"/>
        </w:rPr>
      </w:pPr>
    </w:p>
    <w:p w14:paraId="3E364CA1" w14:textId="77777777" w:rsidR="002C545A" w:rsidRPr="00977013" w:rsidRDefault="002C545A" w:rsidP="00AD04EA">
      <w:pPr>
        <w:pStyle w:val="02TextERCO"/>
        <w:rPr>
          <w:b/>
          <w:bCs/>
          <w:lang w:val="en-US"/>
        </w:rPr>
      </w:pPr>
    </w:p>
    <w:p w14:paraId="1E30DB4E" w14:textId="77777777" w:rsidR="008F008B" w:rsidRPr="00977013" w:rsidRDefault="008F008B" w:rsidP="00AD04EA">
      <w:pPr>
        <w:pStyle w:val="02TextERCO"/>
        <w:rPr>
          <w:b/>
          <w:bCs/>
          <w:lang w:val="en-US"/>
        </w:rPr>
      </w:pPr>
    </w:p>
    <w:p w14:paraId="3DA51D26" w14:textId="77777777" w:rsidR="008F008B" w:rsidRPr="00977013" w:rsidRDefault="008F008B" w:rsidP="00AD04EA">
      <w:pPr>
        <w:pStyle w:val="02TextERCO"/>
        <w:rPr>
          <w:b/>
          <w:bCs/>
          <w:lang w:val="en-US"/>
        </w:rPr>
      </w:pPr>
    </w:p>
    <w:p w14:paraId="4099C051" w14:textId="0E24DCB7" w:rsidR="008F008B" w:rsidRDefault="008F008B" w:rsidP="00AD04EA">
      <w:pPr>
        <w:pStyle w:val="02TextERCO"/>
        <w:rPr>
          <w:b/>
          <w:bCs/>
          <w:lang w:val="en-US"/>
        </w:rPr>
      </w:pPr>
    </w:p>
    <w:p w14:paraId="373401FE" w14:textId="613D38E0" w:rsidR="001B366A" w:rsidRDefault="001B366A" w:rsidP="00AD04EA">
      <w:pPr>
        <w:pStyle w:val="02TextERCO"/>
        <w:rPr>
          <w:b/>
          <w:bCs/>
          <w:lang w:val="en-US"/>
        </w:rPr>
      </w:pPr>
    </w:p>
    <w:p w14:paraId="04BBCDC8" w14:textId="33D2346B" w:rsidR="001B366A" w:rsidRDefault="001B366A" w:rsidP="00AD04EA">
      <w:pPr>
        <w:pStyle w:val="02TextERCO"/>
        <w:rPr>
          <w:b/>
          <w:bCs/>
          <w:lang w:val="en-US"/>
        </w:rPr>
      </w:pPr>
    </w:p>
    <w:p w14:paraId="2231C0A5" w14:textId="77777777" w:rsidR="001B366A" w:rsidRPr="00977013" w:rsidRDefault="001B366A" w:rsidP="00AD04EA">
      <w:pPr>
        <w:pStyle w:val="02TextERCO"/>
        <w:rPr>
          <w:b/>
          <w:bCs/>
          <w:lang w:val="en-US"/>
        </w:rPr>
      </w:pPr>
    </w:p>
    <w:p w14:paraId="60960619" w14:textId="253B77E4" w:rsidR="00AD04EA" w:rsidRPr="00977013" w:rsidRDefault="00483F9A" w:rsidP="00AD04EA">
      <w:pPr>
        <w:pStyle w:val="02TextERCO"/>
        <w:rPr>
          <w:b/>
          <w:bCs/>
          <w:lang w:val="en-US"/>
        </w:rPr>
      </w:pPr>
      <w:r w:rsidRPr="00977013">
        <w:rPr>
          <w:b/>
          <w:bCs/>
          <w:lang w:val="en-US"/>
        </w:rPr>
        <w:lastRenderedPageBreak/>
        <w:t>Sur</w:t>
      </w:r>
      <w:r w:rsidR="00AD04EA" w:rsidRPr="00977013">
        <w:rPr>
          <w:b/>
          <w:bCs/>
          <w:lang w:val="en-US"/>
        </w:rPr>
        <w:t xml:space="preserve"> ERCO</w:t>
      </w:r>
    </w:p>
    <w:p w14:paraId="76C856B3" w14:textId="77777777" w:rsidR="00CB0E5C" w:rsidRPr="00977013" w:rsidRDefault="00CB0E5C" w:rsidP="00AD04EA">
      <w:pPr>
        <w:pStyle w:val="02TextERCO"/>
        <w:rPr>
          <w:b/>
          <w:bCs/>
          <w:lang w:val="en-US"/>
        </w:rPr>
      </w:pPr>
    </w:p>
    <w:p w14:paraId="77E2387F" w14:textId="77777777" w:rsidR="00483F9A" w:rsidRPr="002C545A" w:rsidRDefault="00483F9A" w:rsidP="00483F9A">
      <w:pPr>
        <w:pStyle w:val="ERCOText"/>
        <w:rPr>
          <w:lang w:val="en-US"/>
        </w:rPr>
      </w:pPr>
      <w:r w:rsidRPr="002C545A">
        <w:rPr>
          <w:lang w:val="en-US"/>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2C545A" w:rsidRDefault="00483F9A" w:rsidP="00483F9A">
      <w:pPr>
        <w:pStyle w:val="ERCOText"/>
        <w:rPr>
          <w:lang w:val="en-US"/>
        </w:rPr>
      </w:pPr>
      <w:r w:rsidRPr="002C545A">
        <w:rPr>
          <w:lang w:val="en-US"/>
        </w:rPr>
        <w:t xml:space="preserve"> </w:t>
      </w:r>
    </w:p>
    <w:p w14:paraId="21280F45" w14:textId="77777777" w:rsidR="00483F9A" w:rsidRPr="00483F9A" w:rsidRDefault="00483F9A" w:rsidP="00483F9A">
      <w:pPr>
        <w:pStyle w:val="ERCOText"/>
        <w:rPr>
          <w:lang w:val="en-US"/>
        </w:rPr>
      </w:pPr>
      <w:r w:rsidRPr="00483F9A">
        <w:rPr>
          <w:lang w:val="en-US"/>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r w:rsidRPr="00483F9A">
        <w:rPr>
          <w:lang w:val="en-US"/>
        </w:rPr>
        <w:t xml:space="preserve">N’hésitez pas à vous rendre sur le site </w:t>
      </w:r>
      <w:hyperlink r:id="rId13" w:history="1">
        <w:r w:rsidRPr="00483F9A">
          <w:rPr>
            <w:rStyle w:val="Hyperlink"/>
            <w:lang w:val="en-US"/>
          </w:rPr>
          <w:t>www.erco.com/presse</w:t>
        </w:r>
      </w:hyperlink>
      <w:r w:rsidRPr="00483F9A">
        <w:rPr>
          <w:lang w:val="en-US"/>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CB6F97" w:rsidRDefault="00CA229A">
      <w:pPr>
        <w:rPr>
          <w:lang w:val="en-US"/>
        </w:rPr>
      </w:pPr>
    </w:p>
    <w:sectPr w:rsidR="00CA229A" w:rsidRPr="00CB6F97">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9E1F1" w14:textId="77777777" w:rsidR="004D6290" w:rsidRDefault="004D6290" w:rsidP="00AD04EA">
      <w:r>
        <w:separator/>
      </w:r>
    </w:p>
  </w:endnote>
  <w:endnote w:type="continuationSeparator" w:id="0">
    <w:p w14:paraId="37FF713A" w14:textId="77777777" w:rsidR="004D6290" w:rsidRDefault="004D629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B1A53" w14:textId="77777777" w:rsidR="004D6290" w:rsidRDefault="004D6290" w:rsidP="00AD04EA">
      <w:r>
        <w:separator/>
      </w:r>
    </w:p>
  </w:footnote>
  <w:footnote w:type="continuationSeparator" w:id="0">
    <w:p w14:paraId="1C76D865" w14:textId="77777777" w:rsidR="004D6290" w:rsidRDefault="004D629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D1D4FCB"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8F008B">
      <w:rPr>
        <w:rFonts w:ascii="Arial" w:hAnsi="Arial" w:cs="Arial"/>
        <w:bCs/>
        <w:sz w:val="44"/>
        <w:szCs w:val="44"/>
        <w:lang w:val="en-US"/>
      </w:rPr>
      <w:t>0</w:t>
    </w:r>
    <w:r w:rsidR="00977013">
      <w:rPr>
        <w:rFonts w:ascii="Arial" w:hAnsi="Arial" w:cs="Arial"/>
        <w:bCs/>
        <w:sz w:val="44"/>
        <w:szCs w:val="44"/>
        <w:lang w:val="en-US"/>
      </w:rPr>
      <w:t>2</w:t>
    </w:r>
    <w:r w:rsidRPr="000C0EAA">
      <w:rPr>
        <w:rFonts w:ascii="Arial" w:hAnsi="Arial" w:cs="Arial"/>
        <w:bCs/>
        <w:sz w:val="44"/>
        <w:szCs w:val="44"/>
        <w:lang w:val="en-US"/>
      </w:rPr>
      <w:t>.202</w:t>
    </w:r>
    <w:r w:rsidR="008F008B">
      <w:rPr>
        <w:rFonts w:ascii="Arial" w:hAnsi="Arial" w:cs="Arial"/>
        <w:bCs/>
        <w:sz w:val="44"/>
        <w:szCs w:val="44"/>
        <w:lang w:val="en-US"/>
      </w:rPr>
      <w:t>3</w:t>
    </w:r>
  </w:p>
  <w:p w14:paraId="29474A26" w14:textId="77777777" w:rsidR="008353E5" w:rsidRPr="00D54984"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D54984">
      <w:rPr>
        <w:rFonts w:ascii="Arial" w:hAnsi="Arial" w:cs="Arial"/>
        <w:szCs w:val="24"/>
        <w:lang w:val="en-US"/>
      </w:rPr>
      <w:t>version texte</w:t>
    </w:r>
  </w:p>
  <w:p w14:paraId="70C99FD2" w14:textId="77777777" w:rsidR="00547FCF" w:rsidRPr="00D5498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54984">
      <w:rPr>
        <w:rFonts w:ascii="Arial" w:hAnsi="Arial" w:cs="Arial"/>
        <w:sz w:val="44"/>
        <w:szCs w:val="44"/>
        <w:lang w:val="en-US"/>
      </w:rPr>
      <w:tab/>
    </w:r>
  </w:p>
  <w:p w14:paraId="02052C83" w14:textId="77777777" w:rsidR="00547FCF" w:rsidRPr="00D5498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D54984" w:rsidRDefault="00000000" w:rsidP="007A5E47">
    <w:pPr>
      <w:pStyle w:val="ERCOAdresse"/>
      <w:framePr w:wrap="around" w:y="11341"/>
    </w:pPr>
  </w:p>
  <w:p w14:paraId="7ADE6E8A" w14:textId="77777777" w:rsidR="00547FCF" w:rsidRPr="00D54984" w:rsidRDefault="00000000" w:rsidP="007A5E47">
    <w:pPr>
      <w:pStyle w:val="ERCOAdresse"/>
      <w:framePr w:wrap="around" w:y="11341"/>
    </w:pPr>
  </w:p>
  <w:p w14:paraId="3CD39A67" w14:textId="77777777" w:rsidR="008353E5" w:rsidRPr="00D54984" w:rsidRDefault="008353E5" w:rsidP="008353E5">
    <w:pPr>
      <w:pStyle w:val="ERCOAdresse"/>
      <w:framePr w:wrap="around" w:y="11341"/>
      <w:rPr>
        <w:b/>
      </w:rPr>
    </w:pPr>
  </w:p>
  <w:p w14:paraId="5C2B55EB" w14:textId="765F3079" w:rsidR="008353E5" w:rsidRPr="00D54984" w:rsidRDefault="008353E5" w:rsidP="008353E5">
    <w:pPr>
      <w:pStyle w:val="ERCOAdresse"/>
      <w:framePr w:wrap="around" w:y="11341"/>
      <w:rPr>
        <w:b/>
      </w:rPr>
    </w:pPr>
    <w:r w:rsidRPr="00D54984">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Responsable du contenu / RP</w:t>
    </w:r>
  </w:p>
  <w:p w14:paraId="69C84F10" w14:textId="77777777" w:rsidR="008353E5" w:rsidRPr="008353E5" w:rsidRDefault="008353E5" w:rsidP="008353E5">
    <w:pPr>
      <w:pStyle w:val="ERCOAdresse"/>
      <w:framePr w:wrap="around" w:y="11341"/>
      <w:rPr>
        <w:lang w:val="de-DE"/>
      </w:rPr>
    </w:pPr>
    <w:r w:rsidRPr="008353E5">
      <w:rPr>
        <w:lang w:val="de-DE"/>
      </w:rPr>
      <w:t>Brockhauser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r w:rsidRPr="00BA4DCC">
      <w:rPr>
        <w:lang w:val="de-DE"/>
      </w:rPr>
      <w:t>Allemagne</w:t>
    </w:r>
  </w:p>
  <w:p w14:paraId="138E46DD" w14:textId="77777777" w:rsidR="008353E5" w:rsidRPr="00BA4DCC" w:rsidRDefault="008353E5" w:rsidP="008353E5">
    <w:pPr>
      <w:pStyle w:val="ERCOAdresse"/>
      <w:framePr w:wrap="around" w:y="11341"/>
      <w:rPr>
        <w:lang w:val="de-DE"/>
      </w:rPr>
    </w:pPr>
    <w:r w:rsidRPr="00BA4DCC">
      <w:rPr>
        <w:lang w:val="de-DE"/>
      </w:rPr>
      <w:t>Tél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977013" w:rsidRDefault="008353E5" w:rsidP="008353E5">
    <w:pPr>
      <w:pStyle w:val="ERCOAdresse"/>
      <w:framePr w:wrap="around" w:y="11341"/>
    </w:pPr>
    <w:r w:rsidRPr="00977013">
      <w:t>www.erco.com</w:t>
    </w:r>
  </w:p>
  <w:p w14:paraId="4BD1403A" w14:textId="77777777" w:rsidR="008353E5" w:rsidRPr="00977013" w:rsidRDefault="008353E5" w:rsidP="008353E5">
    <w:pPr>
      <w:pStyle w:val="ERCOAdresse"/>
      <w:framePr w:wrap="around" w:y="11341"/>
    </w:pPr>
  </w:p>
  <w:p w14:paraId="3599BBB3" w14:textId="77777777" w:rsidR="008353E5" w:rsidRPr="00977013" w:rsidRDefault="008353E5" w:rsidP="008353E5">
    <w:pPr>
      <w:pStyle w:val="ERCOAdresse"/>
      <w:framePr w:wrap="around" w:y="11341"/>
    </w:pPr>
  </w:p>
  <w:p w14:paraId="65C29891" w14:textId="77777777" w:rsidR="008353E5" w:rsidRPr="00977013" w:rsidRDefault="008353E5" w:rsidP="008353E5">
    <w:pPr>
      <w:pStyle w:val="ERCOAdresse"/>
      <w:framePr w:wrap="around" w:y="11341"/>
      <w:rPr>
        <w:b/>
      </w:rPr>
    </w:pPr>
    <w:r w:rsidRPr="00977013">
      <w:rPr>
        <w:b/>
      </w:rPr>
      <w:t xml:space="preserve">mai public relations GmbH </w:t>
    </w:r>
  </w:p>
  <w:p w14:paraId="7563EB02" w14:textId="77777777" w:rsidR="008353E5" w:rsidRPr="00977013" w:rsidRDefault="008353E5" w:rsidP="008353E5">
    <w:pPr>
      <w:pStyle w:val="ERCOAdresse"/>
      <w:framePr w:wrap="around" w:y="11341"/>
    </w:pPr>
    <w:r w:rsidRPr="00977013">
      <w:t>Arno Heitland</w:t>
    </w:r>
  </w:p>
  <w:p w14:paraId="153BA0FE" w14:textId="07CE4CAB" w:rsidR="008353E5" w:rsidRPr="00977013" w:rsidRDefault="008353E5" w:rsidP="008353E5">
    <w:pPr>
      <w:pStyle w:val="ERCOAdresse"/>
      <w:framePr w:wrap="around" w:y="11341"/>
    </w:pPr>
    <w:r w:rsidRPr="00977013">
      <w:t xml:space="preserve">Consultant </w:t>
    </w:r>
    <w:r w:rsidR="003E075D" w:rsidRPr="00977013">
      <w:t xml:space="preserve">senior en </w:t>
    </w:r>
    <w:r w:rsidRPr="00977013">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r w:rsidRPr="00BA4DCC">
      <w:rPr>
        <w:lang w:val="de-DE"/>
      </w:rPr>
      <w:t>Allemagne</w:t>
    </w:r>
  </w:p>
  <w:p w14:paraId="7889EA54" w14:textId="77777777" w:rsidR="008353E5" w:rsidRPr="00977013" w:rsidRDefault="008353E5" w:rsidP="008353E5">
    <w:pPr>
      <w:pStyle w:val="ERCOAdresse"/>
      <w:framePr w:wrap="around" w:y="11341"/>
      <w:rPr>
        <w:lang w:val="de-DE"/>
      </w:rPr>
    </w:pPr>
    <w:r w:rsidRPr="00977013">
      <w:rPr>
        <w:lang w:val="de-DE"/>
      </w:rPr>
      <w:t>Tél : +49 30 66 40 40 553</w:t>
    </w:r>
  </w:p>
  <w:p w14:paraId="5DEF975E" w14:textId="77777777" w:rsidR="008353E5" w:rsidRPr="00977013" w:rsidRDefault="00000000" w:rsidP="008353E5">
    <w:pPr>
      <w:pStyle w:val="ERCOAdresse"/>
      <w:framePr w:wrap="around" w:y="11341"/>
      <w:rPr>
        <w:lang w:val="de-DE"/>
      </w:rPr>
    </w:pPr>
    <w:hyperlink r:id="rId1" w:history="1">
      <w:r w:rsidR="008353E5" w:rsidRPr="00977013">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B7899"/>
    <w:rsid w:val="000C0EAA"/>
    <w:rsid w:val="00181770"/>
    <w:rsid w:val="001A36DB"/>
    <w:rsid w:val="001B366A"/>
    <w:rsid w:val="0020679B"/>
    <w:rsid w:val="00213084"/>
    <w:rsid w:val="00213345"/>
    <w:rsid w:val="00235C8B"/>
    <w:rsid w:val="00286807"/>
    <w:rsid w:val="002C545A"/>
    <w:rsid w:val="002D4468"/>
    <w:rsid w:val="002D5010"/>
    <w:rsid w:val="002F7A91"/>
    <w:rsid w:val="00364306"/>
    <w:rsid w:val="003B4519"/>
    <w:rsid w:val="003C4DB0"/>
    <w:rsid w:val="003D0510"/>
    <w:rsid w:val="003E075D"/>
    <w:rsid w:val="0041375C"/>
    <w:rsid w:val="0045034D"/>
    <w:rsid w:val="00483F9A"/>
    <w:rsid w:val="004B4DB6"/>
    <w:rsid w:val="004C2994"/>
    <w:rsid w:val="004C6F52"/>
    <w:rsid w:val="004D6290"/>
    <w:rsid w:val="0051513A"/>
    <w:rsid w:val="00541602"/>
    <w:rsid w:val="0057397A"/>
    <w:rsid w:val="005D1E71"/>
    <w:rsid w:val="005E7CA7"/>
    <w:rsid w:val="006B27C9"/>
    <w:rsid w:val="006B6EE1"/>
    <w:rsid w:val="006D1CB8"/>
    <w:rsid w:val="006E7D03"/>
    <w:rsid w:val="00701D42"/>
    <w:rsid w:val="00723B17"/>
    <w:rsid w:val="007C02E4"/>
    <w:rsid w:val="007E658E"/>
    <w:rsid w:val="007E6824"/>
    <w:rsid w:val="008154D6"/>
    <w:rsid w:val="008353E5"/>
    <w:rsid w:val="00856DAC"/>
    <w:rsid w:val="00864A35"/>
    <w:rsid w:val="00896DAD"/>
    <w:rsid w:val="008F008B"/>
    <w:rsid w:val="00950958"/>
    <w:rsid w:val="00975C96"/>
    <w:rsid w:val="00977013"/>
    <w:rsid w:val="00981EBE"/>
    <w:rsid w:val="009A579D"/>
    <w:rsid w:val="009A5E07"/>
    <w:rsid w:val="009F427E"/>
    <w:rsid w:val="00A22310"/>
    <w:rsid w:val="00AC3F30"/>
    <w:rsid w:val="00AD04EA"/>
    <w:rsid w:val="00B13D3D"/>
    <w:rsid w:val="00B307EA"/>
    <w:rsid w:val="00B6471F"/>
    <w:rsid w:val="00BA4DCC"/>
    <w:rsid w:val="00BC0C03"/>
    <w:rsid w:val="00C1350E"/>
    <w:rsid w:val="00C8215C"/>
    <w:rsid w:val="00C86B87"/>
    <w:rsid w:val="00CA229A"/>
    <w:rsid w:val="00CB0E5C"/>
    <w:rsid w:val="00CB6F97"/>
    <w:rsid w:val="00CC44BA"/>
    <w:rsid w:val="00CD6163"/>
    <w:rsid w:val="00CE34E1"/>
    <w:rsid w:val="00CF179C"/>
    <w:rsid w:val="00D54984"/>
    <w:rsid w:val="00D90289"/>
    <w:rsid w:val="00DF3C04"/>
    <w:rsid w:val="00E34DA5"/>
    <w:rsid w:val="00E538B9"/>
    <w:rsid w:val="00E6557C"/>
    <w:rsid w:val="00F029C0"/>
    <w:rsid w:val="00F425F7"/>
    <w:rsid w:val="00F72144"/>
    <w:rsid w:val="00F725B1"/>
    <w:rsid w:val="00FA58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fr" TargetMode="External"/><Relationship Id="rId13" Type="http://schemas.openxmlformats.org/officeDocument/2006/relationships/hyperlink" Target="https://press.erco.com/fr" TargetMode="External"/><Relationship Id="rId3" Type="http://schemas.openxmlformats.org/officeDocument/2006/relationships/webSettings" Target="webSettings.xml"/><Relationship Id="rId7" Type="http://schemas.openxmlformats.org/officeDocument/2006/relationships/hyperlink" Target="https://www.erco.com/press/6915/fr" TargetMode="External"/><Relationship Id="rId12" Type="http://schemas.openxmlformats.org/officeDocument/2006/relationships/hyperlink" Target="https://lightfinder.erco.com/fr/contentaccess/page/download/media+whitepaper_hc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7320/fr" TargetMode="External"/><Relationship Id="rId11" Type="http://schemas.openxmlformats.org/officeDocument/2006/relationships/hyperlink" Target="https://www.erco.com/press/6353/fr"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erco.com/press/1473/fr" TargetMode="External"/><Relationship Id="rId4" Type="http://schemas.openxmlformats.org/officeDocument/2006/relationships/footnotes" Target="footnotes.xml"/><Relationship Id="rId9" Type="http://schemas.openxmlformats.org/officeDocument/2006/relationships/hyperlink" Target="https://www.erco.com/press/125/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1276</Words>
  <Characters>8046</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31</cp:revision>
  <dcterms:created xsi:type="dcterms:W3CDTF">2022-04-01T12:50:00Z</dcterms:created>
  <dcterms:modified xsi:type="dcterms:W3CDTF">2023-02-20T14:25:00Z</dcterms:modified>
</cp:coreProperties>
</file>