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58EEC" w14:textId="00809D55" w:rsidR="009367BE" w:rsidRPr="009367BE" w:rsidRDefault="009367BE" w:rsidP="009367BE">
      <w:pPr>
        <w:pStyle w:val="prtext"/>
        <w:rPr>
          <w:rFonts w:ascii="Arial" w:hAnsi="Arial" w:cs="Arial"/>
          <w:b/>
          <w:bCs/>
          <w:sz w:val="22"/>
          <w:szCs w:val="22"/>
        </w:rPr>
      </w:pPr>
      <w:r w:rsidRPr="009367BE">
        <w:rPr>
          <w:rFonts w:ascii="Arial" w:hAnsi="Arial" w:cs="Arial"/>
          <w:b/>
          <w:bCs/>
          <w:sz w:val="22"/>
          <w:szCs w:val="22"/>
        </w:rPr>
        <w:t>ERCO Pollux: Magisches Licht aus kompaktem</w:t>
      </w:r>
      <w:r>
        <w:rPr>
          <w:rFonts w:ascii="Arial" w:hAnsi="Arial" w:cs="Arial"/>
          <w:b/>
          <w:bCs/>
          <w:sz w:val="22"/>
          <w:szCs w:val="22"/>
        </w:rPr>
        <w:t xml:space="preserve"> Strahler</w:t>
      </w:r>
    </w:p>
    <w:p w14:paraId="356F2EA6" w14:textId="77777777" w:rsidR="009367BE" w:rsidRDefault="009367BE" w:rsidP="009367BE">
      <w:pPr>
        <w:pStyle w:val="prtext"/>
        <w:rPr>
          <w:rFonts w:ascii="Arial" w:hAnsi="Arial" w:cs="Arial"/>
          <w:b/>
          <w:bCs/>
          <w:sz w:val="22"/>
          <w:szCs w:val="22"/>
        </w:rPr>
      </w:pPr>
    </w:p>
    <w:p w14:paraId="5B88EFF7" w14:textId="61207681" w:rsidR="009367BE" w:rsidRPr="009367BE" w:rsidRDefault="009367BE" w:rsidP="009367BE">
      <w:pPr>
        <w:pStyle w:val="prtext"/>
        <w:rPr>
          <w:rFonts w:ascii="Arial" w:hAnsi="Arial" w:cs="Arial"/>
          <w:b/>
          <w:bCs/>
          <w:sz w:val="22"/>
          <w:szCs w:val="22"/>
        </w:rPr>
      </w:pPr>
      <w:r w:rsidRPr="009367BE">
        <w:rPr>
          <w:rFonts w:ascii="Arial" w:hAnsi="Arial" w:cs="Arial"/>
          <w:b/>
          <w:bCs/>
          <w:sz w:val="22"/>
          <w:szCs w:val="22"/>
        </w:rPr>
        <w:t xml:space="preserve">Lüdenscheid, September 2015. Pollux setzt neue Maßstäbe im Bereich der kompakten Strahler. Entwickelt für den vielseitigen Einsatz in Museen oder Galerien, im Einzelhandel, der Gastronomie oder im privaten Wohnumfeld, erfüllt ERCO Pollux alle Ansprüche an Effizienz, Leistungsstärke und Design. </w:t>
      </w:r>
    </w:p>
    <w:p w14:paraId="0F9B61B6" w14:textId="77777777" w:rsidR="005A4DBE" w:rsidRPr="006D4479" w:rsidRDefault="005A4DBE" w:rsidP="005A4DBE">
      <w:pPr>
        <w:pStyle w:val="prtext"/>
        <w:rPr>
          <w:rFonts w:ascii="Arial" w:hAnsi="Arial" w:cs="Arial"/>
          <w:b/>
          <w:bCs/>
          <w:sz w:val="22"/>
          <w:szCs w:val="22"/>
        </w:rPr>
      </w:pPr>
    </w:p>
    <w:p w14:paraId="44EB1D0C" w14:textId="111B99F9" w:rsidR="009367BE" w:rsidRPr="009367BE" w:rsidRDefault="009367BE" w:rsidP="009367BE">
      <w:pPr>
        <w:pStyle w:val="ERCOText"/>
      </w:pPr>
      <w:r w:rsidRPr="009367BE">
        <w:t>ERCO knüpft mit dem Pollux LED-Strahler nicht nur namentlich an die Maßstäbe der ikonischen Pollux Strahler mit konventionellen Leuchtmitteln an. Die in Technik und Design komplett neugestaltete Pollux Familie mit LED zeichnet sich durch große Vielseitigkeit und einen besonders kompakten, zylindrischen Lichtkopf aus Aluminiumguss aus. Im Innern ist die patentierte LED-Spherolittechnik verbaut</w:t>
      </w:r>
      <w:r>
        <w:t xml:space="preserve">, die </w:t>
      </w:r>
      <w:r w:rsidRPr="009367BE">
        <w:t>bereits aus erfolgreichen Produktfamilien wie Light Board oder Optec bekannt ist. Um maximale planerische Freiheit zu ermöglichen, ist bei Pollux die Spherolitlinse jederzeit austauschbar. Dadurch sind Lichtverteilungen von spot bis wide flood mit nur einer Leuchte möglich.</w:t>
      </w:r>
    </w:p>
    <w:p w14:paraId="0AC62144" w14:textId="77777777" w:rsidR="009367BE" w:rsidRPr="009367BE" w:rsidRDefault="009367BE" w:rsidP="009367BE">
      <w:pPr>
        <w:pStyle w:val="ERCOText"/>
      </w:pPr>
    </w:p>
    <w:p w14:paraId="6DF6E140" w14:textId="77777777" w:rsidR="009367BE" w:rsidRPr="009367BE" w:rsidRDefault="009367BE" w:rsidP="009367BE">
      <w:pPr>
        <w:pStyle w:val="ERCOText"/>
        <w:rPr>
          <w:b/>
          <w:bCs/>
        </w:rPr>
      </w:pPr>
      <w:r w:rsidRPr="009367BE">
        <w:rPr>
          <w:b/>
          <w:bCs/>
        </w:rPr>
        <w:t>Differenzierte Lichtkonzepte mit Pollux umsetzen</w:t>
      </w:r>
    </w:p>
    <w:p w14:paraId="332C5341" w14:textId="185AC032" w:rsidR="009367BE" w:rsidRPr="009367BE" w:rsidRDefault="009367BE" w:rsidP="009367BE">
      <w:pPr>
        <w:pStyle w:val="ERCOText"/>
      </w:pPr>
      <w:r w:rsidRPr="009367BE">
        <w:t xml:space="preserve">Einerseits eignen sich Pollux LED-Strahler für differenzierte Lichtkonzepte im Einzelhandel, der Gastronomie, in Galerien oder in Wohnräumen – durch das kompakte Format insbesondere für kleine Räume. Seine Stärken liegen hierbei vor allem in der Akzentuierung. Andererseits umfasst die Pollux Familie erstmals Projektionsstrahler mit LED: Mit dem Konturenschieber lässt sich der Lichtkegel randscharf auf das Format von Bildern und Objekten im Raum oder an Wänden einstellen – ein magischer Effekt für die plastische, intensive Darstellung der Bildmotive, der in Museen </w:t>
      </w:r>
      <w:r w:rsidR="005D7D1E">
        <w:t>und Galerien großen Anklang findet</w:t>
      </w:r>
      <w:r w:rsidRPr="009367BE">
        <w:t>. Durch sein zurückhaltendes Design lässt Pollux LED sich für ein optimales Licht auch hervorragend mit anderen Strahlerserien kombinieren. Das ermöglicht ferner die schrittweise Ergänzung bestehender Beleuchtungsanlagen.</w:t>
      </w:r>
    </w:p>
    <w:p w14:paraId="4682B9F5" w14:textId="77777777" w:rsidR="009367BE" w:rsidRPr="009367BE" w:rsidRDefault="009367BE" w:rsidP="009367BE">
      <w:pPr>
        <w:pStyle w:val="ERCOText"/>
        <w:rPr>
          <w:b/>
          <w:bCs/>
        </w:rPr>
      </w:pPr>
    </w:p>
    <w:p w14:paraId="2024C193" w14:textId="77777777" w:rsidR="009367BE" w:rsidRPr="009367BE" w:rsidRDefault="009367BE" w:rsidP="009367BE">
      <w:pPr>
        <w:pStyle w:val="ERCOText"/>
        <w:rPr>
          <w:b/>
          <w:bCs/>
        </w:rPr>
      </w:pPr>
      <w:r w:rsidRPr="009367BE">
        <w:rPr>
          <w:b/>
          <w:bCs/>
        </w:rPr>
        <w:lastRenderedPageBreak/>
        <w:t>Objekte mit Licht inszenieren</w:t>
      </w:r>
    </w:p>
    <w:p w14:paraId="1E18AAFF" w14:textId="3D22E883" w:rsidR="00C05475" w:rsidRDefault="009367BE" w:rsidP="009367BE">
      <w:pPr>
        <w:pStyle w:val="ERCOText"/>
      </w:pPr>
      <w:r w:rsidRPr="009367BE">
        <w:t>Trotz seiner kompakten Bauform bietet Pollux alle für eine gekonnte Inszenierung notwendigen Lichtwerkzeuge. Vor allem in Ladenlokalen ist die Akzentuierung von Produkten von strategischer Bedeutung. In diesem Bereich erweist sich auch ein weiteres Feature des Pollux als nützliches Detail: Die Spherolitlinse oval flood ist bei Pollux frei drehbar. Mit dieser ovalen Abstrahlcharakteristik kann das Licht so optimal auf längliche Objekte oder Flächen abgestimmt werden.</w:t>
      </w:r>
    </w:p>
    <w:p w14:paraId="25EEB9E0" w14:textId="77777777" w:rsidR="004C6656" w:rsidRPr="008E1574" w:rsidRDefault="004C6656" w:rsidP="00EA041A">
      <w:pPr>
        <w:pStyle w:val="prtext"/>
        <w:spacing w:line="276" w:lineRule="auto"/>
        <w:rPr>
          <w:rFonts w:ascii="Arial" w:hAnsi="Arial" w:cs="Arial"/>
          <w:sz w:val="20"/>
          <w:lang w:val="nl-NL"/>
        </w:rPr>
      </w:pPr>
    </w:p>
    <w:p w14:paraId="6EBDF0A1" w14:textId="46248D8B" w:rsidR="005A4DBE" w:rsidRDefault="005A4DBE" w:rsidP="009367BE">
      <w:pPr>
        <w:pStyle w:val="ERCOberschrift"/>
      </w:pPr>
      <w:r w:rsidRPr="005A4DBE">
        <w:t>Über ERCO</w:t>
      </w:r>
    </w:p>
    <w:p w14:paraId="3D76284F" w14:textId="08B37295" w:rsidR="0013778A" w:rsidRDefault="0013778A" w:rsidP="009367BE">
      <w:pPr>
        <w:pStyle w:val="ERCOText"/>
      </w:pPr>
      <w:r w:rsidRPr="005A4DBE">
        <w:t>Die ERCO Lichtfabrik mit Sitz in Lüdenscheid ist ein führender Sp</w:t>
      </w:r>
      <w:r>
        <w:t>ezialist für Architekturbeleuch</w:t>
      </w:r>
      <w:r w:rsidRPr="005A4DBE">
        <w:t>tung mit LED-T</w:t>
      </w:r>
      <w:r>
        <w:t>echnologie. Das 1934 gegrün</w:t>
      </w:r>
      <w:r w:rsidRPr="005A4DBE">
        <w:t>dete Familienunternehmen operiert weltweit in knapp 4</w:t>
      </w:r>
      <w:r>
        <w:t>0 Ländern mit über 60 Tochterge</w:t>
      </w:r>
      <w:r w:rsidRPr="005A4DBE">
        <w:t>sellschaften</w:t>
      </w:r>
      <w:r>
        <w:t>, Niederlassungen und Vertretun</w:t>
      </w:r>
      <w:r w:rsidRPr="005A4DBE">
        <w:t>gen. Seit 2015 basiert das Produktprogramm vollständig auf LED-Technologie. Unter dem Leitmotiv „light digital“ entwickelt, gestaltet und produziert ERC</w:t>
      </w:r>
      <w:r>
        <w:t>O in Lüdenscheid digitale Leuch</w:t>
      </w:r>
      <w:r w:rsidR="00710771">
        <w:t>ten</w:t>
      </w:r>
      <w:bookmarkStart w:id="0" w:name="_GoBack"/>
      <w:bookmarkEnd w:id="0"/>
      <w:r w:rsidRPr="005A4DBE">
        <w:t xml:space="preserve"> mit den Schwerpunkten lichttechnische Optiken, Elektronik und Design.</w:t>
      </w:r>
      <w:r>
        <w:t xml:space="preserve"> </w:t>
      </w:r>
      <w:r w:rsidRPr="005A4DBE">
        <w:t>Die Lichtwerkzeuge entstehen in engem Kontakt mit Architekte</w:t>
      </w:r>
      <w:r>
        <w:t>n, Lichtplanern und Elektropla</w:t>
      </w:r>
      <w:r w:rsidRPr="005A4DBE">
        <w:t>nern und kommen primär in den folgenden Anwendungsbereichen zum Einsatz: Work und Shop, Culture und Community, Hospitality, Living, Public und Contemplation. ERCO versteht digitales Licht als die vierte Dimension der Architektur – und unterstützt Planer dabei, ihre Projekte mit hoc</w:t>
      </w:r>
      <w:r>
        <w:t>h präzisen, effizienten Lichtlö</w:t>
      </w:r>
      <w:r w:rsidRPr="005A4DBE">
        <w:t>sungen in die Realität zu überführen.</w:t>
      </w:r>
    </w:p>
    <w:p w14:paraId="78F54160" w14:textId="77777777" w:rsidR="0013778A" w:rsidRPr="00F205D7" w:rsidRDefault="0013778A" w:rsidP="009367BE">
      <w:pPr>
        <w:pStyle w:val="ERCOText"/>
      </w:pPr>
    </w:p>
    <w:p w14:paraId="54DC13AD" w14:textId="0E86A254" w:rsidR="005A4DBE" w:rsidRPr="0013778A" w:rsidRDefault="0013778A" w:rsidP="009367BE">
      <w:pPr>
        <w:pStyle w:val="ERCOText"/>
      </w:pPr>
      <w:r w:rsidRPr="00F205D7">
        <w:t>Sollten Sie weiterführende Informationen zu ERCO oder Bildmaterial wünschen, besuchen Sie uns bitte auf www.erco.com/presse. Gerne liefern wir Ihnen auch Material zu Projekten weltweit für Ihre Berichterstattung.</w:t>
      </w:r>
    </w:p>
    <w:sectPr w:rsidR="005A4DBE" w:rsidRPr="0013778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74858D5" w:rsidR="00DA62FA" w:rsidRPr="00F26635" w:rsidRDefault="00976A77"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Presseinformation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ERCO GmbH</w:t>
    </w:r>
  </w:p>
  <w:p w14:paraId="7DB04D30" w14:textId="77777777" w:rsidR="00DA62FA" w:rsidRPr="005543CE"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lang w:val="en-US"/>
      </w:rPr>
    </w:pPr>
    <w:r w:rsidRPr="005543CE">
      <w:rPr>
        <w:rFonts w:ascii="Arial" w:hAnsi="Arial" w:cs="Arial"/>
        <w:sz w:val="18"/>
        <w:szCs w:val="18"/>
        <w:lang w:val="en-US"/>
      </w:rPr>
      <w:t>Nina Reetzke</w:t>
    </w:r>
  </w:p>
  <w:p w14:paraId="6F8E32CF" w14:textId="77777777" w:rsidR="00DA62FA" w:rsidRPr="00DA390B"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DA62FA"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DA62FA" w:rsidRPr="00DA390B" w:rsidRDefault="00DA62F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DA62FA" w:rsidRPr="007478D4" w:rsidRDefault="00DA62F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DA62FA" w:rsidRPr="00822922" w:rsidRDefault="00710771"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DA62FA" w:rsidRPr="00822922">
        <w:rPr>
          <w:rFonts w:ascii="Arial" w:hAnsi="Arial" w:cs="Arial"/>
          <w:sz w:val="18"/>
          <w:szCs w:val="18"/>
        </w:rPr>
        <w:t>www.erco.com</w:t>
      </w:r>
    </w:hyperlink>
  </w:p>
  <w:p w14:paraId="1DE9BB5D"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2AC59B8E" w14:textId="77777777" w:rsidR="00DA62FA" w:rsidRPr="00887AA0" w:rsidRDefault="00DA62FA" w:rsidP="00F57BC9">
    <w:pPr>
      <w:framePr w:w="2609" w:h="6021" w:hSpace="227" w:wrap="around" w:vAnchor="page" w:hAnchor="page" w:x="1162" w:y="10070" w:anchorLock="1"/>
      <w:spacing w:line="220" w:lineRule="exact"/>
      <w:rPr>
        <w:rFonts w:ascii="Arial" w:hAnsi="Arial" w:cs="Arial"/>
        <w:sz w:val="20"/>
      </w:rPr>
    </w:pPr>
  </w:p>
  <w:p w14:paraId="79ED55F9" w14:textId="77777777" w:rsidR="00DA62FA"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DA62FA" w:rsidRPr="00822922" w:rsidRDefault="00DA62F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164CCA9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D7D1E"/>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0771"/>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67BE"/>
    <w:rsid w:val="00943A4D"/>
    <w:rsid w:val="009766D5"/>
    <w:rsid w:val="00976A77"/>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styleId="Titel">
    <w:name w:val="Title"/>
    <w:basedOn w:val="Standard"/>
    <w:next w:val="Standard"/>
    <w:link w:val="TitelZeichen"/>
    <w:qFormat/>
    <w:rsid w:val="009367B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9367BE"/>
    <w:rPr>
      <w:rFonts w:asciiTheme="majorHAnsi" w:eastAsiaTheme="majorEastAsia" w:hAnsiTheme="majorHAnsi" w:cstheme="majorBidi"/>
      <w:color w:val="17365D" w:themeColor="text2" w:themeShade="BF"/>
      <w:spacing w:val="5"/>
      <w:kern w:val="28"/>
      <w:sz w:val="52"/>
      <w:szCs w:val="52"/>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styleId="Titel">
    <w:name w:val="Title"/>
    <w:basedOn w:val="Standard"/>
    <w:next w:val="Standard"/>
    <w:link w:val="TitelZeichen"/>
    <w:qFormat/>
    <w:rsid w:val="009367B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9367BE"/>
    <w:rPr>
      <w:rFonts w:asciiTheme="majorHAnsi" w:eastAsiaTheme="majorEastAsia" w:hAnsiTheme="majorHAnsi" w:cstheme="majorBidi"/>
      <w:color w:val="17365D" w:themeColor="text2" w:themeShade="BF"/>
      <w:spacing w:val="5"/>
      <w:kern w:val="28"/>
      <w:sz w:val="52"/>
      <w:szCs w:val="5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DEC30-5F5B-4C42-9A16-D1A1C8AD0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491</Words>
  <Characters>3100</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3584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11</cp:revision>
  <cp:lastPrinted>2014-06-11T11:57:00Z</cp:lastPrinted>
  <dcterms:created xsi:type="dcterms:W3CDTF">2015-08-19T14:51:00Z</dcterms:created>
  <dcterms:modified xsi:type="dcterms:W3CDTF">2015-09-08T15:31:00Z</dcterms:modified>
  <cp:category/>
</cp:coreProperties>
</file>